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pos="720"/>
        </w:tabs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Предложения по услугата „Паркирай и пътувай“ при ползване на софийското метро</w:t>
      </w:r>
    </w:p>
    <w:p w:rsidR="00000000" w:rsidDel="00000000" w:rsidP="00000000" w:rsidRDefault="00000000" w:rsidRPr="00000000" w14:paraId="00000002">
      <w:pPr>
        <w:tabs>
          <w:tab w:val="left" w:pos="720"/>
        </w:tabs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720"/>
        </w:tabs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 xml:space="preserve">Въвеждането на услугата „Паркирай и пътувай“ чрез система от буферни паркинги се наложи като съвременна и необходима част от развитието на столичния градски транспорт. Регламентирана е в Наредбата за реда и условията за пътуване с обществения градски транспорт на територията на Столична община, а редът и условията за контрол по ползването ѝ са определени в Заповед на Кмета на Столична община № СОА19-РД09-639/09.05.2019 г. С услугата се насърчава ползването на градския транспорт като алтернатива на придвижването с личен автомобил, особено в централната градска част. Поставените цели и обществените очаквания изискват и съответно качество на услугата. </w:t>
      </w:r>
    </w:p>
    <w:p w:rsidR="00000000" w:rsidDel="00000000" w:rsidP="00000000" w:rsidRDefault="00000000" w:rsidRPr="00000000" w14:paraId="00000004">
      <w:pPr>
        <w:tabs>
          <w:tab w:val="left" w:pos="720"/>
        </w:tabs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 xml:space="preserve">По внесена при обществения посредник е внесена жалба, чието разглеждане е извън правомощията, тъй като се отнася до дейността на общинско дружество –  „Център за градска мобилност“ ЕАД, и </w:t>
      </w:r>
      <w:r w:rsidDel="00000000" w:rsidR="00000000" w:rsidRPr="00000000">
        <w:rPr>
          <w:vertAlign w:val="baseline"/>
          <w:rtl w:val="0"/>
        </w:rPr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въпреки ограничената функционална компетентност в случая, при преглед на нормативната уредба и на приложените от жалбоподателя документи се установи, че тарифата за преференциално паркиране на автомобили се прилага, когато първото за деня пътуване с метро е осъществено от прилежащата към паркинга метростанция. Това условие не е посочено изрично, а се извежда тълкувателно и смислово от текста на Наредбата в чл. 15, ал. 1, според който: „Пътник, притежаващ редовен превозен документ, има право да ползва паркинга при съответната метростанция при условията, посочени в Приложение № 1 от настоящата наредба, когато е осъществил пътуване с метро до друга метростанция и обратно за интервал от време не по-малък от 1 час в рамките на 24 часа.“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Запознаването с реда и условията от ползвателите на услугата „Паркирай и пътувай“ чрез информационните табла при буферните паркинги в някои случаи е затруднено (поради избеляла табела или необходимост от изчитане на дълъг текст) и рискува неразбиране на изискванията за ползването ѝ.</w:t>
      </w:r>
    </w:p>
    <w:p w:rsidR="00000000" w:rsidDel="00000000" w:rsidP="00000000" w:rsidRDefault="00000000" w:rsidRPr="00000000" w14:paraId="00000006">
      <w:pPr>
        <w:tabs>
          <w:tab w:val="left" w:pos="720"/>
        </w:tabs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  <w:tab/>
        <w:t xml:space="preserve">С оглед осигуряването на ясна и достъпна информация, на основание чл. 3, ал. 1 от Правилника за организацията и дейността на обществения посредник на територията на Столична община, към общинските органи са отправени следните предложения:</w:t>
      </w:r>
    </w:p>
    <w:p w:rsidR="00000000" w:rsidDel="00000000" w:rsidP="00000000" w:rsidRDefault="00000000" w:rsidRPr="00000000" w14:paraId="00000007">
      <w:pPr>
        <w:tabs>
          <w:tab w:val="left" w:pos="720"/>
        </w:tabs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 xml:space="preserve">1. Указателните табели, поставени на терена за ориентиране за местоположението на паркингите, да са еднотипни и да се поставят навсякъде (например буферният паркинг към метростанция „Бизнес парк“ не е означен по никакъв начин). Причината за разликите в указанията вероятно е вътрешен въпрос, но спрямо ползвателите на услугата е препоръчително информацията да е  представена по единен начин. В сегашния си вид тя е обемна, подробна, не концентрира вниманието на гражданите върху най-важните елементи, свързани с правото на ползване на паркинга.</w:t>
      </w:r>
    </w:p>
    <w:p w:rsidR="00000000" w:rsidDel="00000000" w:rsidP="00000000" w:rsidRDefault="00000000" w:rsidRPr="00000000" w14:paraId="00000008">
      <w:pPr>
        <w:ind w:firstLine="708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С т. 5 от цитираната по-горе заповед е предвидено задължение за ЦГМ ЕАД да предоставя информация на пътниците за условията и реда за ползване на паркингите на видно място на самите тях, на интернет страницата на дружеството, чрез брошури и информационни материали и информационни кампании. С изключение на съдържащата се на интернет страницата на ЦГМ информация, останалите начини на разгласяване не са използвани в пълнота: на повечето буферни паркинги информацията е представена чрез залепване на копие от указанията на ЦГМ и заповедта на Кмета на Столична община на касата на паркинга или на касата на самата метростанция, което не позволява гражданите да се запознаят с нея, преди да са паркирали автомобилите си.</w:t>
      </w:r>
    </w:p>
    <w:p w:rsidR="00000000" w:rsidDel="00000000" w:rsidP="00000000" w:rsidRDefault="00000000" w:rsidRPr="00000000" w14:paraId="00000009">
      <w:pPr>
        <w:tabs>
          <w:tab w:val="left" w:pos="720"/>
        </w:tabs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 xml:space="preserve">По-подходящо би било поставянето на указателна табела със синтезирана информация за условията на ползване на услугата преди бариерата за вход на паркинга, което в момента се констатира само на един от входовете на буферния паркинг при „Метростанция Джеймс Баучер“.</w:t>
      </w:r>
    </w:p>
    <w:p w:rsidR="00000000" w:rsidDel="00000000" w:rsidP="00000000" w:rsidRDefault="00000000" w:rsidRPr="00000000" w14:paraId="0000000A">
      <w:pPr>
        <w:tabs>
          <w:tab w:val="left" w:pos="720"/>
        </w:tabs>
        <w:jc w:val="both"/>
        <w:rPr>
          <w:i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 xml:space="preserve">2. Да се ползва уеднаквена терминология – „буферни паркинги“ или „паркинги при метростанциите“ (в Наредбата и в Заповедта се посочват „паркинги при метростанциите“, а на уеб-страницата на ЦГМ ЕАД са „буферни паркинги“).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 xml:space="preserve">3. Поради необезопасен пешеходен достъп до касите на някои буферни паркинги съществува риск от инциденти. Валидирането на превозния документ и на билета за паркиране на място от служител на касата е необходимо във всички случаи, за да може автомобилът да напусне паркинга. Това налага в повечето буферни паркинги водачите да подходят към касата и след това към конкретното паркомясто, придвижвайки се по лентите за движение на автомобили. Преодоляването на това неудобство чрез временно спиране на автомобилите пред касата, преди напускане на съоръжението, е неприемливо от гледна точка на сигурността и удобството при ползване на услугата. Препоръчително е при изграждането и на бъдещи буферни паркинги да се предвиди решение за пешеходен достъп до касите, а в съществуващите буферни паркинги по възможност да се създаде банкет за пешеходно движение или да се потърси друг подходящ начин за валидиране на превозните документи.</w:t>
      </w:r>
    </w:p>
    <w:p w:rsidR="00000000" w:rsidDel="00000000" w:rsidP="00000000" w:rsidRDefault="00000000" w:rsidRPr="00000000" w14:paraId="0000000C">
      <w:pPr>
        <w:tabs>
          <w:tab w:val="left" w:pos="720"/>
        </w:tabs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 xml:space="preserve">4. Предвид целогодишните посещения в град София от много чуждестранни граждани, предлагам информацията за ползването на услугата „Паркирай и пътувай“ да бъде публикувана и разпространявана и на английски език. 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258" w:top="1258" w:left="1417" w:right="141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703"/>
        <w:tab w:val="right" w:pos="94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703"/>
        <w:tab w:val="right" w:pos="94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bg-BG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sz w:val="28"/>
      <w:szCs w:val="28"/>
      <w:u w:val="single"/>
      <w:vertAlign w:val="baseline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sr-Cyrl" w:val="en-AU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Calibri Light" w:cs="Times New Roman" w:eastAsia="Times New Roman" w:hAnsi="Calibri Light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sr-Cyrl" w:val="en-AU"/>
    </w:rPr>
  </w:style>
  <w:style w:type="paragraph" w:styleId="Heading3">
    <w:name w:val="Heading 3"/>
    <w:basedOn w:val="Normal"/>
    <w:next w:val="Normal"/>
    <w:autoRedefine w:val="0"/>
    <w:hidden w:val="0"/>
    <w:qFormat w:val="1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2"/>
    </w:pPr>
    <w:rPr>
      <w:rFonts w:ascii="Calibri Light" w:cs="Times New Roman" w:eastAsia="Times New Roman" w:hAnsi="Calibri Ligh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sr-Cyrl" w:val="en-AU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itle">
    <w:name w:val="Title"/>
    <w:basedOn w:val="Normal"/>
    <w:next w:val="Title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28"/>
      <w:u w:val="single"/>
      <w:effect w:val="none"/>
      <w:vertAlign w:val="baseline"/>
      <w:cs w:val="0"/>
      <w:em w:val="none"/>
      <w:lang w:bidi="ar-SA" w:eastAsia="en-US" w:val="bg-BG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sr-Cyrl" w:val="bg-BG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sr-Cyrl" w:val="en-AU"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newdocreference1">
    <w:name w:val="newdocreference1"/>
    <w:next w:val="newdocreference1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BodyTextChar">
    <w:name w:val="Body Text Char"/>
    <w:next w:val="BodyTextChar"/>
    <w:autoRedefine w:val="0"/>
    <w:hidden w:val="0"/>
    <w:qFormat w:val="0"/>
    <w:rPr>
      <w:w w:val="100"/>
      <w:position w:val="-1"/>
      <w:sz w:val="24"/>
      <w:effect w:val="none"/>
      <w:vertAlign w:val="baseline"/>
      <w:cs w:val="0"/>
      <w:em w:val="none"/>
      <w:lang w:eastAsia="sr-Cyrl" w:val="bg-BG"/>
    </w:r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703"/>
        <w:tab w:val="right" w:leader="none" w:pos="94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sr-Cyrl" w:val="en-AU"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sr-Cyrl" w:val="en-AU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703"/>
        <w:tab w:val="right" w:leader="none" w:pos="94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sr-Cyrl" w:val="en-AU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sr-Cyrl" w:val="en-AU"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Heading3Char">
    <w:name w:val="Heading 3 Char"/>
    <w:next w:val="Heading3Char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eastAsia="sr-Cyrl" w:val="en-AU"/>
    </w:rPr>
  </w:style>
  <w:style w:type="character" w:styleId="Heading1Char">
    <w:name w:val="Heading 1 Char"/>
    <w:next w:val="Heading1Char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eastAsia="sr-Cyrl" w:val="en-AU"/>
    </w:rPr>
  </w:style>
  <w:style w:type="character" w:styleId="SubtleEmphasis">
    <w:name w:val="Subtle Emphasis"/>
    <w:next w:val="SubtleEmphasis"/>
    <w:autoRedefine w:val="0"/>
    <w:hidden w:val="0"/>
    <w:qFormat w:val="0"/>
    <w:rPr>
      <w:i w:val="1"/>
      <w:iCs w:val="1"/>
      <w:color w:val="404040"/>
      <w:w w:val="100"/>
      <w:position w:val="-1"/>
      <w:effect w:val="none"/>
      <w:vertAlign w:val="baseline"/>
      <w:cs w:val="0"/>
      <w:em w:val="none"/>
      <w:lang/>
    </w:rPr>
  </w:style>
  <w:style w:type="paragraph" w:styleId="m">
    <w:name w:val="m"/>
    <w:basedOn w:val="Normal"/>
    <w:next w:val="m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bg-BG" w:val="bg-BG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QbG/8FKwkWlxTpARi/NVjDSPTA==">AMUW2mW5/BSM9QKxYLdbOLNucCVV8tnt//chiOOdFZj8GOUbayZmp8iWE0eRgaT7WsTGJaKaW7s1HK8a/8r9lUpclEgm7enVrOgwypY20AK/8KRLea/vE08=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2021-10-21T13:37:00Z</dcterms:created>
  <dc:creator>Hristina Dimitrova</dc:creator>
</cp:coreProperties>
</file>